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CBB" w:rsidRPr="007D76BF" w:rsidRDefault="00ED1CBB" w:rsidP="00C46144">
      <w:pPr>
        <w:jc w:val="center"/>
        <w:rPr>
          <w:rFonts w:asciiTheme="majorHAnsi" w:hAnsiTheme="majorHAnsi"/>
          <w:b/>
          <w:noProof/>
          <w:lang w:val="en-GB"/>
        </w:rPr>
      </w:pPr>
      <w:bookmarkStart w:id="0" w:name="_GoBack"/>
      <w:bookmarkEnd w:id="0"/>
    </w:p>
    <w:p w:rsidR="001B032B" w:rsidRPr="007D76BF" w:rsidRDefault="00C35E46" w:rsidP="00C46144">
      <w:pPr>
        <w:jc w:val="center"/>
        <w:rPr>
          <w:rFonts w:asciiTheme="majorHAnsi" w:hAnsiTheme="majorHAnsi"/>
          <w:b/>
          <w:noProof/>
          <w:sz w:val="28"/>
          <w:szCs w:val="28"/>
          <w:lang w:val="en-GB"/>
        </w:rPr>
      </w:pPr>
      <w:r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Indicative </w:t>
      </w:r>
      <w:r w:rsidR="00D0333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list of </w:t>
      </w:r>
      <w:r w:rsidR="001949CB" w:rsidRPr="007D76BF">
        <w:rPr>
          <w:rFonts w:asciiTheme="majorHAnsi" w:hAnsiTheme="majorHAnsi"/>
          <w:b/>
          <w:noProof/>
          <w:sz w:val="28"/>
          <w:szCs w:val="28"/>
          <w:lang w:val="en-GB"/>
        </w:rPr>
        <w:t xml:space="preserve">potential beneficiaries </w:t>
      </w:r>
    </w:p>
    <w:p w:rsidR="00C35E46" w:rsidRPr="007D76BF" w:rsidRDefault="00C35E46" w:rsidP="00937307">
      <w:pPr>
        <w:jc w:val="both"/>
        <w:rPr>
          <w:rFonts w:asciiTheme="majorHAnsi" w:hAnsiTheme="majorHAnsi"/>
          <w:b/>
          <w:noProof/>
          <w:lang w:val="en-GB"/>
        </w:rPr>
      </w:pP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p w:rsidR="00937307" w:rsidRPr="007D76BF" w:rsidRDefault="00937307" w:rsidP="00937307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 xml:space="preserve">Priority 3.1 – Development of cross border transport infrastructure and ICT tools </w:t>
      </w:r>
    </w:p>
    <w:p w:rsidR="00937307" w:rsidRPr="007D76BF" w:rsidRDefault="00937307" w:rsidP="00937307">
      <w:pPr>
        <w:pStyle w:val="Default"/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C35E46" w:rsidRPr="007D76BF" w:rsidRDefault="00C35E46" w:rsidP="00937307">
      <w:pPr>
        <w:pStyle w:val="Default"/>
        <w:numPr>
          <w:ilvl w:val="0"/>
          <w:numId w:val="4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National /regional/local public administration and other public institutions; </w:t>
      </w: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p w:rsidR="00937307" w:rsidRPr="007D76BF" w:rsidRDefault="00937307" w:rsidP="00937307">
      <w:pPr>
        <w:pStyle w:val="Default"/>
        <w:spacing w:after="1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4.1 - Support to the development of health services and access to health</w:t>
      </w:r>
    </w:p>
    <w:p w:rsidR="00937307" w:rsidRPr="007D76BF" w:rsidRDefault="00937307" w:rsidP="00937307">
      <w:pPr>
        <w:pStyle w:val="Default"/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C35E46" w:rsidRPr="007D76BF" w:rsidRDefault="00C35E46" w:rsidP="00937307">
      <w:pPr>
        <w:pStyle w:val="Default"/>
        <w:numPr>
          <w:ilvl w:val="0"/>
          <w:numId w:val="5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National /regional/local public administration and other public institutions </w:t>
      </w:r>
    </w:p>
    <w:p w:rsidR="00C35E46" w:rsidRPr="007D76BF" w:rsidRDefault="00C35E46" w:rsidP="00937307">
      <w:pPr>
        <w:pStyle w:val="Default"/>
        <w:numPr>
          <w:ilvl w:val="0"/>
          <w:numId w:val="5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National/regional/local/ institutions acting in the field of health and social policies; </w:t>
      </w:r>
    </w:p>
    <w:p w:rsidR="00C35E46" w:rsidRPr="007D76BF" w:rsidRDefault="00C35E46" w:rsidP="00937307">
      <w:pPr>
        <w:pStyle w:val="Default"/>
        <w:numPr>
          <w:ilvl w:val="0"/>
          <w:numId w:val="5"/>
        </w:numPr>
        <w:spacing w:after="1"/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NGOs, universities and research institutes; </w:t>
      </w:r>
    </w:p>
    <w:p w:rsidR="00C35E46" w:rsidRPr="007D76BF" w:rsidRDefault="00C35E46" w:rsidP="00937307">
      <w:pPr>
        <w:pStyle w:val="Default"/>
        <w:numPr>
          <w:ilvl w:val="0"/>
          <w:numId w:val="5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Professional medical and other relevant associations. </w:t>
      </w:r>
    </w:p>
    <w:p w:rsidR="00937307" w:rsidRPr="007D76BF" w:rsidRDefault="00937307" w:rsidP="00937307">
      <w:pPr>
        <w:pStyle w:val="Default"/>
        <w:ind w:left="720"/>
        <w:jc w:val="both"/>
        <w:rPr>
          <w:rFonts w:asciiTheme="majorHAnsi" w:hAnsiTheme="majorHAnsi"/>
          <w:noProof/>
          <w:sz w:val="22"/>
          <w:szCs w:val="22"/>
          <w:lang w:val="en-GB"/>
        </w:rPr>
      </w:pPr>
    </w:p>
    <w:p w:rsidR="00937307" w:rsidRPr="007D76BF" w:rsidRDefault="00937307" w:rsidP="00937307">
      <w:pPr>
        <w:pStyle w:val="Default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  <w:t>Priority 4.3 - Prevention and fight against organised crime and police cooperation</w:t>
      </w:r>
    </w:p>
    <w:p w:rsidR="00937307" w:rsidRPr="007D76BF" w:rsidRDefault="00937307" w:rsidP="00937307">
      <w:pPr>
        <w:pStyle w:val="Default"/>
        <w:jc w:val="both"/>
        <w:rPr>
          <w:rFonts w:asciiTheme="majorHAnsi" w:hAnsiTheme="majorHAnsi"/>
          <w:b/>
          <w:bCs/>
          <w:i/>
          <w:iCs/>
          <w:noProof/>
          <w:sz w:val="22"/>
          <w:szCs w:val="22"/>
          <w:lang w:val="en-GB"/>
        </w:rPr>
      </w:pPr>
    </w:p>
    <w:p w:rsidR="00C35E46" w:rsidRPr="007D76BF" w:rsidRDefault="00C35E46" w:rsidP="00937307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noProof/>
          <w:sz w:val="22"/>
          <w:szCs w:val="22"/>
          <w:lang w:val="en-GB"/>
        </w:rPr>
      </w:pPr>
      <w:r w:rsidRPr="007D76BF">
        <w:rPr>
          <w:rFonts w:asciiTheme="majorHAnsi" w:hAnsiTheme="majorHAnsi"/>
          <w:noProof/>
          <w:sz w:val="22"/>
          <w:szCs w:val="22"/>
          <w:lang w:val="en-GB"/>
        </w:rPr>
        <w:t xml:space="preserve">Custom services, border police, police, other national/regional/local public institutions acting in the area of crime prevention and police, professional associations </w:t>
      </w: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p w:rsidR="00C35E46" w:rsidRPr="007D76BF" w:rsidRDefault="00C35E46" w:rsidP="00937307">
      <w:pPr>
        <w:jc w:val="both"/>
        <w:rPr>
          <w:rFonts w:asciiTheme="majorHAnsi" w:hAnsiTheme="majorHAnsi"/>
          <w:noProof/>
          <w:lang w:val="en-GB"/>
        </w:rPr>
      </w:pPr>
    </w:p>
    <w:sectPr w:rsidR="00C35E46" w:rsidRPr="007D76B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CBB" w:rsidRDefault="00ED1CBB" w:rsidP="00ED1CBB">
      <w:pPr>
        <w:spacing w:after="0" w:line="240" w:lineRule="auto"/>
      </w:pPr>
      <w:r>
        <w:separator/>
      </w:r>
    </w:p>
  </w:endnote>
  <w:endnote w:type="continuationSeparator" w:id="0">
    <w:p w:rsidR="00ED1CBB" w:rsidRDefault="00ED1CBB" w:rsidP="00ED1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CBB" w:rsidRDefault="00ED1CBB" w:rsidP="00ED1CBB">
      <w:pPr>
        <w:spacing w:after="0" w:line="240" w:lineRule="auto"/>
      </w:pPr>
      <w:r>
        <w:separator/>
      </w:r>
    </w:p>
  </w:footnote>
  <w:footnote w:type="continuationSeparator" w:id="0">
    <w:p w:rsidR="00ED1CBB" w:rsidRDefault="00ED1CBB" w:rsidP="00ED1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B9F" w:rsidRDefault="00A87B9F" w:rsidP="00A87B9F">
    <w:pPr>
      <w:tabs>
        <w:tab w:val="center" w:pos="4320"/>
        <w:tab w:val="right" w:pos="10773"/>
      </w:tabs>
      <w:spacing w:after="0"/>
      <w:rPr>
        <w:sz w:val="14"/>
        <w:szCs w:val="14"/>
      </w:rPr>
    </w:pPr>
    <w:r>
      <w:rPr>
        <w:sz w:val="14"/>
        <w:szCs w:val="14"/>
      </w:rPr>
      <w:t xml:space="preserve">        </w:t>
    </w:r>
    <w:r>
      <w:rPr>
        <w:rFonts w:eastAsia="Times New Roman" w:cs="Calibri"/>
        <w:noProof/>
      </w:rPr>
      <w:drawing>
        <wp:inline distT="0" distB="0" distL="0" distR="0" wp14:anchorId="00D6E921" wp14:editId="4FBA4A50">
          <wp:extent cx="963930" cy="600710"/>
          <wp:effectExtent l="0" t="0" r="7620" b="889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93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4"/>
        <w:szCs w:val="14"/>
      </w:rPr>
      <w:t xml:space="preserve">                                                                                                       </w:t>
    </w:r>
    <w:r>
      <w:rPr>
        <w:sz w:val="14"/>
        <w:szCs w:val="14"/>
      </w:rPr>
      <w:t xml:space="preserve">                                                                             </w:t>
    </w:r>
    <w:r>
      <w:rPr>
        <w:noProof/>
      </w:rPr>
      <w:drawing>
        <wp:inline distT="0" distB="0" distL="0" distR="0" wp14:anchorId="38C1C92A" wp14:editId="7D4F16FD">
          <wp:extent cx="1171575" cy="609600"/>
          <wp:effectExtent l="0" t="0" r="9525" b="0"/>
          <wp:docPr id="36" name="Picture 36" descr="d:\Users\georgianap\Desktop\Template-uri ROUA\sigla ROUA en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d:\Users\georgianap\Desktop\Template-uri ROUA\sigla ROUA en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7B9F" w:rsidRDefault="00A87B9F" w:rsidP="00A87B9F">
    <w:pPr>
      <w:tabs>
        <w:tab w:val="left" w:pos="1276"/>
      </w:tabs>
      <w:spacing w:after="0" w:line="240" w:lineRule="auto"/>
      <w:rPr>
        <w:rFonts w:eastAsia="Times New Roman" w:cs="Calibri"/>
        <w:b/>
        <w:sz w:val="16"/>
        <w:szCs w:val="16"/>
        <w:lang w:val="en-GB"/>
      </w:rPr>
    </w:pPr>
    <w:r>
      <w:rPr>
        <w:rFonts w:eastAsia="Times New Roman" w:cs="Calibri"/>
        <w:b/>
        <w:sz w:val="16"/>
        <w:szCs w:val="16"/>
        <w:lang w:val="en-GB"/>
      </w:rPr>
      <w:t xml:space="preserve">       </w:t>
    </w:r>
    <w:r>
      <w:rPr>
        <w:rFonts w:eastAsia="Times New Roman" w:cs="Calibri"/>
        <w:b/>
        <w:sz w:val="16"/>
        <w:szCs w:val="16"/>
        <w:lang w:val="en-GB"/>
      </w:rPr>
      <w:t xml:space="preserve"> </w:t>
    </w:r>
    <w:proofErr w:type="spellStart"/>
    <w:r w:rsidRPr="00EC09ED">
      <w:rPr>
        <w:rFonts w:eastAsia="Times New Roman" w:cs="Calibri"/>
        <w:b/>
        <w:sz w:val="16"/>
        <w:szCs w:val="16"/>
        <w:lang w:val="en-GB"/>
      </w:rPr>
      <w:t>Programe</w:t>
    </w:r>
    <w:proofErr w:type="spellEnd"/>
    <w:r w:rsidRPr="00EC09ED">
      <w:rPr>
        <w:rFonts w:eastAsia="Times New Roman" w:cs="Calibri"/>
        <w:b/>
        <w:sz w:val="16"/>
        <w:szCs w:val="16"/>
        <w:lang w:val="en-GB"/>
      </w:rPr>
      <w:t xml:space="preserve"> funded by</w:t>
    </w:r>
  </w:p>
  <w:p w:rsidR="00A87B9F" w:rsidRPr="00A87B9F" w:rsidRDefault="00A87B9F" w:rsidP="00A87B9F">
    <w:pPr>
      <w:tabs>
        <w:tab w:val="left" w:pos="1276"/>
      </w:tabs>
      <w:spacing w:after="0" w:line="240" w:lineRule="auto"/>
      <w:rPr>
        <w:rFonts w:eastAsia="Times New Roman" w:cs="Calibri"/>
        <w:b/>
        <w:sz w:val="16"/>
        <w:szCs w:val="16"/>
        <w:lang w:val="en-GB"/>
      </w:rPr>
    </w:pPr>
    <w:r>
      <w:rPr>
        <w:rFonts w:eastAsia="Times New Roman" w:cs="Calibri"/>
        <w:b/>
        <w:sz w:val="16"/>
        <w:szCs w:val="16"/>
        <w:lang w:val="en-GB"/>
      </w:rPr>
      <w:t xml:space="preserve">        </w:t>
    </w:r>
    <w:proofErr w:type="gramStart"/>
    <w:r w:rsidRPr="00EC09ED">
      <w:rPr>
        <w:rFonts w:eastAsia="Times New Roman" w:cs="Calibri"/>
        <w:b/>
        <w:sz w:val="16"/>
        <w:szCs w:val="16"/>
        <w:lang w:val="en-GB"/>
      </w:rPr>
      <w:t>the</w:t>
    </w:r>
    <w:proofErr w:type="gramEnd"/>
    <w:r w:rsidRPr="00EC09ED">
      <w:rPr>
        <w:rFonts w:eastAsia="Times New Roman" w:cs="Calibri"/>
        <w:b/>
        <w:sz w:val="16"/>
        <w:szCs w:val="16"/>
        <w:lang w:val="en-GB"/>
      </w:rPr>
      <w:t xml:space="preserve"> European Union</w:t>
    </w:r>
    <w:r w:rsidRPr="00EC09ED">
      <w:rPr>
        <w:rFonts w:eastAsia="Times New Roman" w:cs="Calibri"/>
        <w:b/>
        <w:lang w:val="en-GB"/>
      </w:rPr>
      <w:t xml:space="preserve">   </w:t>
    </w:r>
  </w:p>
  <w:p w:rsidR="00A87B9F" w:rsidRDefault="00A87B9F" w:rsidP="00ED1CBB">
    <w:pPr>
      <w:pStyle w:val="Header"/>
      <w:rPr>
        <w:rFonts w:asciiTheme="majorHAnsi" w:hAnsiTheme="majorHAnsi"/>
        <w:noProof/>
      </w:rPr>
    </w:pPr>
  </w:p>
  <w:p w:rsidR="00ED1CBB" w:rsidRDefault="00ED1CBB" w:rsidP="00ED1CBB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ED1CBB" w:rsidRDefault="00ED1CBB" w:rsidP="00ED1CBB">
    <w:pPr>
      <w:pStyle w:val="Header"/>
      <w:rPr>
        <w:rFonts w:asciiTheme="majorHAnsi" w:hAnsiTheme="majorHAnsi"/>
        <w:b/>
        <w:noProof/>
      </w:rPr>
    </w:pPr>
    <w:r>
      <w:rPr>
        <w:rFonts w:asciiTheme="majorHAnsi" w:hAnsiTheme="majorHAnsi"/>
        <w:noProof/>
      </w:rPr>
      <w:t>Guidelines for grant applicants – HARD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 w:rsidR="007E3E80">
      <w:rPr>
        <w:rFonts w:asciiTheme="majorHAnsi" w:hAnsiTheme="majorHAnsi"/>
        <w:b/>
        <w:noProof/>
      </w:rPr>
      <w:t>ANNEX J</w:t>
    </w:r>
    <w:r>
      <w:rPr>
        <w:rFonts w:asciiTheme="majorHAnsi" w:hAnsiTheme="majorHAnsi"/>
        <w:b/>
        <w:noProof/>
      </w:rPr>
      <w:t>.1</w:t>
    </w:r>
  </w:p>
  <w:p w:rsidR="00ED1CBB" w:rsidRDefault="00ED1C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B8E"/>
    <w:multiLevelType w:val="hybridMultilevel"/>
    <w:tmpl w:val="8C981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52E40"/>
    <w:multiLevelType w:val="hybridMultilevel"/>
    <w:tmpl w:val="09707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1339A"/>
    <w:multiLevelType w:val="hybridMultilevel"/>
    <w:tmpl w:val="95CC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F687D"/>
    <w:multiLevelType w:val="hybridMultilevel"/>
    <w:tmpl w:val="C350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9B0D5A"/>
    <w:multiLevelType w:val="hybridMultilevel"/>
    <w:tmpl w:val="BBE86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0D3FA2"/>
    <w:multiLevelType w:val="hybridMultilevel"/>
    <w:tmpl w:val="D6D64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DA5D6C"/>
    <w:multiLevelType w:val="hybridMultilevel"/>
    <w:tmpl w:val="6390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46"/>
    <w:rsid w:val="001949CB"/>
    <w:rsid w:val="001B032B"/>
    <w:rsid w:val="007B763F"/>
    <w:rsid w:val="007D76BF"/>
    <w:rsid w:val="007E3E80"/>
    <w:rsid w:val="00937307"/>
    <w:rsid w:val="00A87B9F"/>
    <w:rsid w:val="00C35E46"/>
    <w:rsid w:val="00C46144"/>
    <w:rsid w:val="00D0333B"/>
    <w:rsid w:val="00E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B9F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5E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B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D1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BB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B9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Tanasa</dc:creator>
  <cp:keywords/>
  <dc:description/>
  <cp:lastModifiedBy>Gabriela Ionescu</cp:lastModifiedBy>
  <cp:revision>10</cp:revision>
  <dcterms:created xsi:type="dcterms:W3CDTF">2017-01-17T10:54:00Z</dcterms:created>
  <dcterms:modified xsi:type="dcterms:W3CDTF">2017-05-31T06:19:00Z</dcterms:modified>
</cp:coreProperties>
</file>